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9A707" w14:textId="77777777" w:rsidR="00E17DDB" w:rsidRDefault="00E17DDB" w:rsidP="00E17DDB">
      <w:pPr>
        <w:rPr>
          <w:b/>
          <w:bCs/>
          <w:sz w:val="24"/>
          <w:szCs w:val="24"/>
        </w:rPr>
      </w:pPr>
      <w:r w:rsidRPr="7E30AEA2">
        <w:rPr>
          <w:b/>
          <w:bCs/>
          <w:sz w:val="24"/>
          <w:szCs w:val="24"/>
        </w:rPr>
        <w:t>Chan Wai Lap as part of Dirty Paper (b.1988)</w:t>
      </w:r>
    </w:p>
    <w:p w14:paraId="2BA965A0" w14:textId="77777777" w:rsidR="00E17DDB" w:rsidRDefault="00E17DDB" w:rsidP="00E17DDB">
      <w:pPr>
        <w:rPr>
          <w:b/>
          <w:bCs/>
          <w:sz w:val="24"/>
          <w:szCs w:val="24"/>
          <w:lang w:val="en-US"/>
        </w:rPr>
      </w:pPr>
      <w:proofErr w:type="spellStart"/>
      <w:r w:rsidRPr="7E30AEA2">
        <w:rPr>
          <w:b/>
          <w:bCs/>
          <w:i/>
          <w:iCs/>
          <w:sz w:val="24"/>
          <w:szCs w:val="24"/>
          <w:lang w:val="en-US"/>
        </w:rPr>
        <w:t>Maths</w:t>
      </w:r>
      <w:proofErr w:type="spellEnd"/>
      <w:r w:rsidRPr="7E30AEA2">
        <w:rPr>
          <w:b/>
          <w:bCs/>
          <w:i/>
          <w:iCs/>
          <w:sz w:val="24"/>
          <w:szCs w:val="24"/>
          <w:lang w:val="en-US"/>
        </w:rPr>
        <w:t xml:space="preserve"> Lesson, </w:t>
      </w:r>
      <w:r w:rsidRPr="7E30AEA2">
        <w:rPr>
          <w:b/>
          <w:bCs/>
          <w:sz w:val="24"/>
          <w:szCs w:val="24"/>
          <w:lang w:val="en-US"/>
        </w:rPr>
        <w:t>2013</w:t>
      </w:r>
    </w:p>
    <w:p w14:paraId="1CAC79CD" w14:textId="77777777" w:rsidR="00E17DDB" w:rsidRDefault="00E17DDB" w:rsidP="00E17DDB">
      <w:pPr>
        <w:rPr>
          <w:b/>
          <w:bCs/>
          <w:sz w:val="24"/>
          <w:szCs w:val="24"/>
        </w:rPr>
      </w:pPr>
      <w:r>
        <w:rPr>
          <w:b/>
          <w:bCs/>
          <w:i/>
          <w:iCs/>
          <w:sz w:val="24"/>
          <w:szCs w:val="24"/>
        </w:rPr>
        <w:t xml:space="preserve">D.T. Lesson, </w:t>
      </w:r>
      <w:r>
        <w:rPr>
          <w:b/>
          <w:bCs/>
          <w:sz w:val="24"/>
          <w:szCs w:val="24"/>
        </w:rPr>
        <w:t>2013</w:t>
      </w:r>
    </w:p>
    <w:p w14:paraId="1FC97CAD" w14:textId="77777777" w:rsidR="00E17DDB" w:rsidRDefault="00E17DDB" w:rsidP="00E17DDB">
      <w:pPr>
        <w:rPr>
          <w:sz w:val="24"/>
          <w:szCs w:val="24"/>
          <w:lang w:val="en-US"/>
        </w:rPr>
      </w:pPr>
      <w:r w:rsidRPr="7E30AEA2">
        <w:rPr>
          <w:sz w:val="24"/>
          <w:szCs w:val="24"/>
          <w:lang w:val="en-US"/>
        </w:rPr>
        <w:t xml:space="preserve">Pencil, </w:t>
      </w:r>
      <w:proofErr w:type="spellStart"/>
      <w:r w:rsidRPr="7E30AEA2">
        <w:rPr>
          <w:sz w:val="24"/>
          <w:szCs w:val="24"/>
          <w:lang w:val="en-US"/>
        </w:rPr>
        <w:t>colour</w:t>
      </w:r>
      <w:proofErr w:type="spellEnd"/>
      <w:r w:rsidRPr="7E30AEA2">
        <w:rPr>
          <w:sz w:val="24"/>
          <w:szCs w:val="24"/>
          <w:lang w:val="en-US"/>
        </w:rPr>
        <w:t xml:space="preserve"> pencil and ink on paper</w:t>
      </w:r>
    </w:p>
    <w:p w14:paraId="0FC0AC1A" w14:textId="77777777" w:rsidR="00E17DDB" w:rsidRDefault="00E17DDB" w:rsidP="00E17DDB">
      <w:pPr>
        <w:rPr>
          <w:sz w:val="24"/>
          <w:szCs w:val="24"/>
        </w:rPr>
      </w:pPr>
      <w:r>
        <w:rPr>
          <w:sz w:val="24"/>
          <w:szCs w:val="24"/>
        </w:rPr>
        <w:t>Courtesy of the Artist</w:t>
      </w:r>
    </w:p>
    <w:p w14:paraId="6D971E36" w14:textId="77777777" w:rsidR="00E17DDB" w:rsidRDefault="00E17DDB" w:rsidP="00E17DDB">
      <w:pPr>
        <w:rPr>
          <w:sz w:val="24"/>
          <w:szCs w:val="24"/>
        </w:rPr>
      </w:pPr>
    </w:p>
    <w:p w14:paraId="596EE35E" w14:textId="77777777" w:rsidR="00E17DDB" w:rsidRDefault="00E17DDB" w:rsidP="00E17DDB">
      <w:pPr>
        <w:rPr>
          <w:sz w:val="24"/>
          <w:szCs w:val="24"/>
          <w:lang w:val="en-US"/>
        </w:rPr>
      </w:pPr>
      <w:r w:rsidRPr="7E30AEA2">
        <w:rPr>
          <w:sz w:val="24"/>
          <w:szCs w:val="24"/>
          <w:lang w:val="en-US"/>
        </w:rPr>
        <w:t xml:space="preserve">Chan Wai Lap is a Hong Kong artist best known for his meticulous </w:t>
      </w:r>
      <w:proofErr w:type="spellStart"/>
      <w:r w:rsidRPr="7E30AEA2">
        <w:rPr>
          <w:sz w:val="24"/>
          <w:szCs w:val="24"/>
          <w:lang w:val="en-US"/>
        </w:rPr>
        <w:t>waterpencil</w:t>
      </w:r>
      <w:proofErr w:type="spellEnd"/>
      <w:r w:rsidRPr="7E30AEA2">
        <w:rPr>
          <w:sz w:val="24"/>
          <w:szCs w:val="24"/>
          <w:lang w:val="en-US"/>
        </w:rPr>
        <w:t xml:space="preserve"> drawing and life-size installations of public swimming pools. In an earlier and lesser-known series, Chan created a body of drawings that takes inspiration from his own secondary school experience in Hong Kong. Part autobiography and part social commentary, the series covers school uniforms, stationary, report cards, class schedules, and even unsuccessful university admission results. Together, they form the collective memory, aspirations, and material traces of a local generation who grew up in 1990s-2000s Hong Kong.</w:t>
      </w:r>
    </w:p>
    <w:p w14:paraId="0E1580C4" w14:textId="77777777" w:rsidR="00E17DDB" w:rsidRDefault="00E17DDB" w:rsidP="00E17DDB">
      <w:pPr>
        <w:rPr>
          <w:sz w:val="24"/>
          <w:szCs w:val="24"/>
        </w:rPr>
      </w:pPr>
    </w:p>
    <w:p w14:paraId="69F99D17" w14:textId="77777777" w:rsidR="00E17DDB" w:rsidRDefault="00E17DDB" w:rsidP="00E17DDB">
      <w:pPr>
        <w:rPr>
          <w:sz w:val="24"/>
          <w:szCs w:val="24"/>
          <w:lang w:val="en-US"/>
        </w:rPr>
      </w:pPr>
      <w:r w:rsidRPr="7E30AEA2">
        <w:rPr>
          <w:sz w:val="24"/>
          <w:szCs w:val="24"/>
          <w:lang w:val="en-US"/>
        </w:rPr>
        <w:t xml:space="preserve">Selected on view are two works from the series, </w:t>
      </w:r>
      <w:proofErr w:type="spellStart"/>
      <w:r w:rsidRPr="7E30AEA2">
        <w:rPr>
          <w:i/>
          <w:iCs/>
          <w:sz w:val="24"/>
          <w:szCs w:val="24"/>
          <w:lang w:val="en-US"/>
        </w:rPr>
        <w:t>Maths</w:t>
      </w:r>
      <w:proofErr w:type="spellEnd"/>
      <w:r w:rsidRPr="7E30AEA2">
        <w:rPr>
          <w:i/>
          <w:iCs/>
          <w:sz w:val="24"/>
          <w:szCs w:val="24"/>
          <w:lang w:val="en-US"/>
        </w:rPr>
        <w:t xml:space="preserve"> Lesson </w:t>
      </w:r>
      <w:r w:rsidRPr="7E30AEA2">
        <w:rPr>
          <w:sz w:val="24"/>
          <w:szCs w:val="24"/>
          <w:lang w:val="en-US"/>
        </w:rPr>
        <w:t xml:space="preserve">and </w:t>
      </w:r>
      <w:r w:rsidRPr="7E30AEA2">
        <w:rPr>
          <w:i/>
          <w:iCs/>
          <w:sz w:val="24"/>
          <w:szCs w:val="24"/>
          <w:lang w:val="en-US"/>
        </w:rPr>
        <w:t>D.T. Lesson</w:t>
      </w:r>
      <w:r w:rsidRPr="7E30AEA2">
        <w:rPr>
          <w:sz w:val="24"/>
          <w:szCs w:val="24"/>
          <w:lang w:val="en-US"/>
        </w:rPr>
        <w:t xml:space="preserve"> from Chan’s </w:t>
      </w:r>
      <w:r w:rsidRPr="7E30AEA2">
        <w:rPr>
          <w:i/>
          <w:iCs/>
          <w:sz w:val="24"/>
          <w:szCs w:val="24"/>
          <w:lang w:val="en-US"/>
        </w:rPr>
        <w:t xml:space="preserve">Today’s Lessons </w:t>
      </w:r>
      <w:r w:rsidRPr="7E30AEA2">
        <w:rPr>
          <w:sz w:val="24"/>
          <w:szCs w:val="24"/>
          <w:lang w:val="en-US"/>
        </w:rPr>
        <w:t xml:space="preserve">series. </w:t>
      </w:r>
      <w:proofErr w:type="spellStart"/>
      <w:proofErr w:type="gramStart"/>
      <w:r w:rsidRPr="7E30AEA2">
        <w:rPr>
          <w:sz w:val="24"/>
          <w:szCs w:val="24"/>
          <w:lang w:val="en-US"/>
        </w:rPr>
        <w:t>Utilising</w:t>
      </w:r>
      <w:proofErr w:type="spellEnd"/>
      <w:proofErr w:type="gramEnd"/>
      <w:r w:rsidRPr="7E30AEA2">
        <w:rPr>
          <w:sz w:val="24"/>
          <w:szCs w:val="24"/>
          <w:lang w:val="en-US"/>
        </w:rPr>
        <w:t xml:space="preserve"> his playful imagination, the artist transforms daily objects in the classroom into playmates with arms and legs who can run around the place. The artist recalled that although he was not academically gifted, his artistic side carried him through the otherwise monotonous, if not defeating school days. Chan’s artistic career proves that Hong Kong schoolchildren can have many viable paths beyond traditional white-collar jobs, and that vital qualities like creativity and curiosity cannot be measured by conventional metrics of success. </w:t>
      </w:r>
    </w:p>
    <w:p w14:paraId="75C38B87" w14:textId="77777777" w:rsidR="00C05F27" w:rsidRDefault="00C05F27">
      <w:pPr>
        <w:rPr>
          <w:lang w:val="en-US"/>
        </w:rPr>
      </w:pPr>
    </w:p>
    <w:p w14:paraId="5B6F7929" w14:textId="77777777" w:rsidR="00E17DDB" w:rsidRDefault="00E17DDB" w:rsidP="00E17DDB">
      <w:pPr>
        <w:rPr>
          <w:rFonts w:eastAsia="PMingLiU"/>
          <w:sz w:val="24"/>
          <w:szCs w:val="24"/>
          <w:lang w:val="en-US"/>
        </w:rPr>
      </w:pPr>
      <w:r w:rsidRPr="00C636B6">
        <w:rPr>
          <w:b/>
          <w:bCs/>
          <w:sz w:val="24"/>
          <w:szCs w:val="24"/>
          <w:lang w:val="en-US"/>
        </w:rPr>
        <w:t>陳</w:t>
      </w:r>
      <w:r>
        <w:rPr>
          <w:rFonts w:ascii="PMingLiU" w:eastAsia="PMingLiU" w:hAnsi="PMingLiU" w:hint="eastAsia"/>
          <w:b/>
          <w:bCs/>
          <w:sz w:val="24"/>
          <w:szCs w:val="24"/>
          <w:lang w:val="en-US"/>
        </w:rPr>
        <w:t>惠</w:t>
      </w:r>
      <w:r w:rsidRPr="00C636B6">
        <w:rPr>
          <w:b/>
          <w:bCs/>
          <w:sz w:val="24"/>
          <w:szCs w:val="24"/>
          <w:lang w:val="en-US"/>
        </w:rPr>
        <w:t>立</w:t>
      </w:r>
      <w:r>
        <w:rPr>
          <w:b/>
          <w:bCs/>
          <w:sz w:val="24"/>
          <w:szCs w:val="24"/>
          <w:lang w:val="en-US"/>
        </w:rPr>
        <w:t xml:space="preserve"> (Dirty Paper</w:t>
      </w:r>
      <w:r>
        <w:rPr>
          <w:rFonts w:eastAsia="PMingLiU" w:hint="eastAsia"/>
          <w:b/>
          <w:bCs/>
          <w:sz w:val="24"/>
          <w:szCs w:val="24"/>
          <w:lang w:val="en-US"/>
        </w:rPr>
        <w:t>創作團體成員</w:t>
      </w:r>
      <w:r>
        <w:rPr>
          <w:b/>
          <w:bCs/>
          <w:sz w:val="24"/>
          <w:szCs w:val="24"/>
          <w:lang w:val="en-US"/>
        </w:rPr>
        <w:t>)</w:t>
      </w:r>
      <w:r w:rsidRPr="00C636B6">
        <w:rPr>
          <w:b/>
          <w:bCs/>
          <w:sz w:val="24"/>
          <w:szCs w:val="24"/>
          <w:lang w:val="en-US"/>
        </w:rPr>
        <w:t>（生於1988年）</w:t>
      </w:r>
      <w:r w:rsidRPr="00C636B6">
        <w:rPr>
          <w:b/>
          <w:bCs/>
          <w:sz w:val="24"/>
          <w:szCs w:val="24"/>
          <w:lang w:val="en-US"/>
        </w:rPr>
        <w:br/>
        <w:t>《數學</w:t>
      </w:r>
      <w:r>
        <w:rPr>
          <w:rFonts w:ascii="PMingLiU" w:eastAsia="PMingLiU" w:hAnsi="PMingLiU" w:hint="eastAsia"/>
          <w:b/>
          <w:bCs/>
          <w:sz w:val="24"/>
          <w:szCs w:val="24"/>
          <w:lang w:val="en-US"/>
        </w:rPr>
        <w:t>堂</w:t>
      </w:r>
      <w:r w:rsidRPr="00C636B6">
        <w:rPr>
          <w:b/>
          <w:bCs/>
          <w:sz w:val="24"/>
          <w:szCs w:val="24"/>
          <w:lang w:val="en-US"/>
        </w:rPr>
        <w:t>》2013</w:t>
      </w:r>
      <w:r w:rsidRPr="00870ACC">
        <w:rPr>
          <w:sz w:val="24"/>
          <w:szCs w:val="24"/>
          <w:lang w:val="en-US"/>
        </w:rPr>
        <w:br/>
      </w:r>
      <w:r w:rsidRPr="00C636B6">
        <w:rPr>
          <w:b/>
          <w:bCs/>
          <w:sz w:val="24"/>
          <w:szCs w:val="24"/>
          <w:lang w:val="en-US"/>
        </w:rPr>
        <w:t>《</w:t>
      </w:r>
      <w:r>
        <w:rPr>
          <w:rFonts w:ascii="PMingLiU" w:eastAsia="PMingLiU" w:hAnsi="PMingLiU" w:hint="eastAsia"/>
          <w:b/>
          <w:bCs/>
          <w:sz w:val="24"/>
          <w:szCs w:val="24"/>
          <w:lang w:val="en-US"/>
        </w:rPr>
        <w:t>木工堂</w:t>
      </w:r>
      <w:r w:rsidRPr="00C636B6">
        <w:rPr>
          <w:b/>
          <w:bCs/>
          <w:sz w:val="24"/>
          <w:szCs w:val="24"/>
          <w:lang w:val="en-US"/>
        </w:rPr>
        <w:t>》2013</w:t>
      </w:r>
      <w:r w:rsidRPr="00870ACC">
        <w:rPr>
          <w:sz w:val="24"/>
          <w:szCs w:val="24"/>
          <w:lang w:val="en-US"/>
        </w:rPr>
        <w:br/>
        <w:t>鉛筆、彩色鉛筆及墨水紙本</w:t>
      </w:r>
      <w:r w:rsidRPr="00870ACC">
        <w:rPr>
          <w:sz w:val="24"/>
          <w:szCs w:val="24"/>
          <w:lang w:val="en-US"/>
        </w:rPr>
        <w:br/>
        <w:t>由藝術家提供</w:t>
      </w:r>
    </w:p>
    <w:p w14:paraId="5E880527" w14:textId="77777777" w:rsidR="00E17DDB" w:rsidRPr="00236292" w:rsidRDefault="00E17DDB" w:rsidP="00E17DDB">
      <w:pPr>
        <w:rPr>
          <w:rFonts w:eastAsia="PMingLiU"/>
          <w:sz w:val="24"/>
          <w:szCs w:val="24"/>
          <w:lang w:val="en-US"/>
        </w:rPr>
      </w:pPr>
    </w:p>
    <w:p w14:paraId="233A96DD" w14:textId="77777777" w:rsidR="00E17DDB" w:rsidRPr="00870ACC" w:rsidRDefault="00E17DDB" w:rsidP="00E17DDB">
      <w:pPr>
        <w:rPr>
          <w:sz w:val="24"/>
          <w:szCs w:val="24"/>
          <w:lang w:val="en-US"/>
        </w:rPr>
      </w:pPr>
      <w:r w:rsidRPr="00870ACC">
        <w:rPr>
          <w:sz w:val="24"/>
          <w:szCs w:val="24"/>
          <w:lang w:val="en-US"/>
        </w:rPr>
        <w:t>香港藝術家陳</w:t>
      </w:r>
      <w:r>
        <w:rPr>
          <w:rFonts w:ascii="PMingLiU" w:eastAsia="PMingLiU" w:hAnsi="PMingLiU" w:hint="eastAsia"/>
          <w:sz w:val="24"/>
          <w:szCs w:val="24"/>
          <w:lang w:val="en-US"/>
        </w:rPr>
        <w:t>惠</w:t>
      </w:r>
      <w:r w:rsidRPr="00870ACC">
        <w:rPr>
          <w:sz w:val="24"/>
          <w:szCs w:val="24"/>
          <w:lang w:val="en-US"/>
        </w:rPr>
        <w:t>立，以細緻的水彩鉛筆畫</w:t>
      </w:r>
      <w:r>
        <w:rPr>
          <w:rFonts w:ascii="PMingLiU" w:eastAsia="PMingLiU" w:hAnsi="PMingLiU" w:hint="eastAsia"/>
          <w:sz w:val="24"/>
          <w:szCs w:val="24"/>
          <w:lang w:val="en-US"/>
        </w:rPr>
        <w:t>作</w:t>
      </w:r>
      <w:r w:rsidRPr="00870ACC">
        <w:rPr>
          <w:sz w:val="24"/>
          <w:szCs w:val="24"/>
          <w:lang w:val="en-US"/>
        </w:rPr>
        <w:t>及</w:t>
      </w:r>
      <w:r>
        <w:rPr>
          <w:rFonts w:ascii="PMingLiU" w:eastAsia="PMingLiU" w:hAnsi="PMingLiU" w:hint="eastAsia"/>
          <w:sz w:val="24"/>
          <w:szCs w:val="24"/>
          <w:lang w:val="en-US"/>
        </w:rPr>
        <w:t>真實尺寸的</w:t>
      </w:r>
      <w:r w:rsidRPr="00870ACC">
        <w:rPr>
          <w:sz w:val="24"/>
          <w:szCs w:val="24"/>
          <w:lang w:val="en-US"/>
        </w:rPr>
        <w:t>公共泳池裝置作品聞名。在其早</w:t>
      </w:r>
      <w:r>
        <w:rPr>
          <w:rFonts w:ascii="PMingLiU" w:eastAsia="PMingLiU" w:hAnsi="PMingLiU" w:hint="eastAsia"/>
          <w:sz w:val="24"/>
          <w:szCs w:val="24"/>
          <w:lang w:val="en-US"/>
        </w:rPr>
        <w:t>期</w:t>
      </w:r>
      <w:r w:rsidRPr="00870ACC">
        <w:rPr>
          <w:sz w:val="24"/>
          <w:szCs w:val="24"/>
          <w:lang w:val="en-US"/>
        </w:rPr>
        <w:t>且較少為人所知的系列中，他以自身香港中學生活為靈感創作一組繪畫，兼具自傳性與社會觀察，涵蓋校服、文具、成績表、課表，甚至未</w:t>
      </w:r>
      <w:r>
        <w:rPr>
          <w:rFonts w:ascii="PMingLiU" w:eastAsia="PMingLiU" w:hAnsi="PMingLiU" w:hint="eastAsia"/>
          <w:sz w:val="24"/>
          <w:szCs w:val="24"/>
          <w:lang w:val="en-US"/>
        </w:rPr>
        <w:t>獲大學錄取的</w:t>
      </w:r>
      <w:r>
        <w:rPr>
          <w:rFonts w:ascii="PMingLiU" w:eastAsia="PMingLiU" w:hAnsi="PMingLiU"/>
          <w:sz w:val="24"/>
          <w:szCs w:val="24"/>
          <w:lang w:val="x-none"/>
        </w:rPr>
        <w:t>經</w:t>
      </w:r>
      <w:r>
        <w:rPr>
          <w:rFonts w:ascii="PMingLiU" w:eastAsia="PMingLiU" w:hAnsi="PMingLiU" w:hint="eastAsia"/>
          <w:sz w:val="24"/>
          <w:szCs w:val="24"/>
          <w:lang w:val="x-none"/>
        </w:rPr>
        <w:t>歷</w:t>
      </w:r>
      <w:r w:rsidRPr="00870ACC">
        <w:rPr>
          <w:sz w:val="24"/>
          <w:szCs w:val="24"/>
          <w:lang w:val="en-US"/>
        </w:rPr>
        <w:t>。這些元素共同構成1990至2000年代香港一代人的集體記憶、理想與物質痕跡。</w:t>
      </w:r>
    </w:p>
    <w:p w14:paraId="19BA7321" w14:textId="77777777" w:rsidR="00E17DDB" w:rsidRDefault="00E17DDB" w:rsidP="00E17DDB">
      <w:pPr>
        <w:rPr>
          <w:rFonts w:eastAsia="PMingLiU"/>
          <w:sz w:val="24"/>
          <w:szCs w:val="24"/>
          <w:lang w:val="en-US"/>
        </w:rPr>
      </w:pPr>
      <w:r>
        <w:rPr>
          <w:rFonts w:ascii="PMingLiU" w:eastAsia="PMingLiU" w:hAnsi="PMingLiU" w:hint="eastAsia"/>
          <w:sz w:val="24"/>
          <w:szCs w:val="24"/>
          <w:lang w:val="en-US"/>
        </w:rPr>
        <w:t>是次</w:t>
      </w:r>
      <w:r w:rsidRPr="00870ACC">
        <w:rPr>
          <w:sz w:val="24"/>
          <w:szCs w:val="24"/>
          <w:lang w:val="en-US"/>
        </w:rPr>
        <w:t>展出的《數學課》與《設計與科技課》選自其《今日課堂》系列</w:t>
      </w:r>
      <w:r>
        <w:rPr>
          <w:rFonts w:ascii="PMingLiU" w:eastAsia="PMingLiU" w:hAnsi="PMingLiU" w:hint="eastAsia"/>
          <w:sz w:val="24"/>
          <w:szCs w:val="24"/>
          <w:lang w:val="en-US"/>
        </w:rPr>
        <w:t>，</w:t>
      </w:r>
      <w:r w:rsidRPr="00870ACC">
        <w:rPr>
          <w:sz w:val="24"/>
          <w:szCs w:val="24"/>
          <w:lang w:val="en-US"/>
        </w:rPr>
        <w:t>藝術家以富玩味的想像，將課室中的日常物件轉化為長出手腳、能自由活動的玩伴。他回憶自己雖非學業優秀，但</w:t>
      </w:r>
      <w:r>
        <w:rPr>
          <w:rFonts w:ascii="PMingLiU" w:eastAsia="PMingLiU" w:hAnsi="PMingLiU" w:hint="eastAsia"/>
          <w:sz w:val="24"/>
          <w:szCs w:val="24"/>
          <w:lang w:val="en-US"/>
        </w:rPr>
        <w:t>其</w:t>
      </w:r>
      <w:r w:rsidRPr="00870ACC">
        <w:rPr>
          <w:sz w:val="24"/>
          <w:szCs w:val="24"/>
          <w:lang w:val="en-US"/>
        </w:rPr>
        <w:t>藝術</w:t>
      </w:r>
      <w:r>
        <w:rPr>
          <w:rFonts w:eastAsia="PMingLiU" w:hint="eastAsia"/>
          <w:sz w:val="24"/>
          <w:szCs w:val="24"/>
          <w:lang w:val="en-US"/>
        </w:rPr>
        <w:t>天賦</w:t>
      </w:r>
      <w:r>
        <w:rPr>
          <w:rFonts w:ascii="PMingLiU" w:eastAsia="PMingLiU" w:hAnsi="PMingLiU"/>
          <w:sz w:val="24"/>
          <w:szCs w:val="24"/>
          <w:lang w:val="x-none"/>
        </w:rPr>
        <w:t>令</w:t>
      </w:r>
      <w:r w:rsidRPr="00870ACC">
        <w:rPr>
          <w:sz w:val="24"/>
          <w:szCs w:val="24"/>
          <w:lang w:val="en-US"/>
        </w:rPr>
        <w:t>單調</w:t>
      </w:r>
      <w:r>
        <w:rPr>
          <w:rFonts w:ascii="PMingLiU" w:eastAsia="PMingLiU" w:hAnsi="PMingLiU" w:hint="eastAsia"/>
          <w:sz w:val="24"/>
          <w:szCs w:val="24"/>
          <w:lang w:val="en-US"/>
        </w:rPr>
        <w:t>、充滿</w:t>
      </w:r>
      <w:r w:rsidRPr="00870ACC">
        <w:rPr>
          <w:sz w:val="24"/>
          <w:szCs w:val="24"/>
          <w:lang w:val="en-US"/>
        </w:rPr>
        <w:t>挫敗</w:t>
      </w:r>
      <w:r>
        <w:rPr>
          <w:rFonts w:ascii="PMingLiU" w:eastAsia="PMingLiU" w:hAnsi="PMingLiU" w:hint="eastAsia"/>
          <w:sz w:val="24"/>
          <w:szCs w:val="24"/>
          <w:lang w:val="en-US"/>
        </w:rPr>
        <w:t>感</w:t>
      </w:r>
      <w:r w:rsidRPr="00870ACC">
        <w:rPr>
          <w:sz w:val="24"/>
          <w:szCs w:val="24"/>
          <w:lang w:val="en-US"/>
        </w:rPr>
        <w:t>的校園生活</w:t>
      </w:r>
      <w:r>
        <w:rPr>
          <w:rFonts w:ascii="PMingLiU" w:eastAsia="PMingLiU" w:hAnsi="PMingLiU" w:hint="eastAsia"/>
          <w:sz w:val="24"/>
          <w:szCs w:val="24"/>
          <w:lang w:val="en-US"/>
        </w:rPr>
        <w:t>變得更有趣</w:t>
      </w:r>
      <w:r w:rsidRPr="00870ACC">
        <w:rPr>
          <w:sz w:val="24"/>
          <w:szCs w:val="24"/>
          <w:lang w:val="en-US"/>
        </w:rPr>
        <w:t>。其</w:t>
      </w:r>
      <w:r>
        <w:rPr>
          <w:sz w:val="24"/>
          <w:szCs w:val="24"/>
          <w:lang w:val="x-none"/>
        </w:rPr>
        <w:t>職</w:t>
      </w:r>
      <w:r>
        <w:rPr>
          <w:rFonts w:hint="eastAsia"/>
          <w:sz w:val="24"/>
          <w:szCs w:val="24"/>
          <w:lang w:val="x-none"/>
        </w:rPr>
        <w:t>業</w:t>
      </w:r>
      <w:r>
        <w:rPr>
          <w:sz w:val="24"/>
          <w:szCs w:val="24"/>
          <w:lang w:val="x-none"/>
        </w:rPr>
        <w:t>藝術</w:t>
      </w:r>
      <w:r>
        <w:rPr>
          <w:rFonts w:hint="eastAsia"/>
          <w:sz w:val="24"/>
          <w:szCs w:val="24"/>
          <w:lang w:val="x-none"/>
        </w:rPr>
        <w:t>家</w:t>
      </w:r>
      <w:r>
        <w:rPr>
          <w:sz w:val="24"/>
          <w:szCs w:val="24"/>
          <w:lang w:val="x-none"/>
        </w:rPr>
        <w:t>的</w:t>
      </w:r>
      <w:r w:rsidRPr="00870ACC">
        <w:rPr>
          <w:sz w:val="24"/>
          <w:szCs w:val="24"/>
          <w:lang w:val="en-US"/>
        </w:rPr>
        <w:t>歷程亦說明，香港學生的人生道路不止於傳統白領職業，而創意與好奇心等重要特質，亦無法以傳統成功標準衡量。</w:t>
      </w:r>
    </w:p>
    <w:p w14:paraId="31CB32FA" w14:textId="77777777" w:rsidR="00E17DDB" w:rsidRPr="00E17DDB" w:rsidRDefault="00E17DDB">
      <w:pPr>
        <w:rPr>
          <w:lang w:val="en-US"/>
        </w:rPr>
      </w:pPr>
    </w:p>
    <w:sectPr w:rsidR="00E17DDB" w:rsidRPr="00E17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DB"/>
    <w:rsid w:val="000E7DC2"/>
    <w:rsid w:val="00775DAB"/>
    <w:rsid w:val="00AE2460"/>
    <w:rsid w:val="00C05F27"/>
    <w:rsid w:val="00D027CD"/>
    <w:rsid w:val="00D66A87"/>
    <w:rsid w:val="00E17D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C035"/>
  <w15:chartTrackingRefBased/>
  <w15:docId w15:val="{F072A760-9770-4B56-A5FD-03BC1486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DDB"/>
    <w:pPr>
      <w:spacing w:after="0" w:line="276" w:lineRule="auto"/>
    </w:pPr>
    <w:rPr>
      <w:rFonts w:ascii="Arial" w:eastAsia="Arial" w:hAnsi="Arial" w:cs="Arial"/>
      <w:kern w:val="0"/>
      <w:sz w:val="22"/>
      <w:szCs w:val="22"/>
      <w:lang w:val="en" w:eastAsia="zh-TW"/>
      <w14:ligatures w14:val="none"/>
    </w:rPr>
  </w:style>
  <w:style w:type="paragraph" w:styleId="Heading1">
    <w:name w:val="heading 1"/>
    <w:basedOn w:val="Normal"/>
    <w:next w:val="Normal"/>
    <w:link w:val="Heading1Char"/>
    <w:uiPriority w:val="9"/>
    <w:qFormat/>
    <w:rsid w:val="00E17D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zh-CN"/>
      <w14:ligatures w14:val="standardContextual"/>
    </w:rPr>
  </w:style>
  <w:style w:type="paragraph" w:styleId="Heading2">
    <w:name w:val="heading 2"/>
    <w:basedOn w:val="Normal"/>
    <w:next w:val="Normal"/>
    <w:link w:val="Heading2Char"/>
    <w:uiPriority w:val="9"/>
    <w:semiHidden/>
    <w:unhideWhenUsed/>
    <w:qFormat/>
    <w:rsid w:val="00E17D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zh-CN"/>
      <w14:ligatures w14:val="standardContextual"/>
    </w:rPr>
  </w:style>
  <w:style w:type="paragraph" w:styleId="Heading3">
    <w:name w:val="heading 3"/>
    <w:basedOn w:val="Normal"/>
    <w:next w:val="Normal"/>
    <w:link w:val="Heading3Char"/>
    <w:uiPriority w:val="9"/>
    <w:semiHidden/>
    <w:unhideWhenUsed/>
    <w:qFormat/>
    <w:rsid w:val="00E17D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zh-CN"/>
      <w14:ligatures w14:val="standardContextual"/>
    </w:rPr>
  </w:style>
  <w:style w:type="paragraph" w:styleId="Heading4">
    <w:name w:val="heading 4"/>
    <w:basedOn w:val="Normal"/>
    <w:next w:val="Normal"/>
    <w:link w:val="Heading4Char"/>
    <w:uiPriority w:val="9"/>
    <w:semiHidden/>
    <w:unhideWhenUsed/>
    <w:qFormat/>
    <w:rsid w:val="00E17DD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eastAsia="zh-CN"/>
      <w14:ligatures w14:val="standardContextual"/>
    </w:rPr>
  </w:style>
  <w:style w:type="paragraph" w:styleId="Heading5">
    <w:name w:val="heading 5"/>
    <w:basedOn w:val="Normal"/>
    <w:next w:val="Normal"/>
    <w:link w:val="Heading5Char"/>
    <w:uiPriority w:val="9"/>
    <w:semiHidden/>
    <w:unhideWhenUsed/>
    <w:qFormat/>
    <w:rsid w:val="00E17DD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eastAsia="zh-CN"/>
      <w14:ligatures w14:val="standardContextual"/>
    </w:rPr>
  </w:style>
  <w:style w:type="paragraph" w:styleId="Heading6">
    <w:name w:val="heading 6"/>
    <w:basedOn w:val="Normal"/>
    <w:next w:val="Normal"/>
    <w:link w:val="Heading6Char"/>
    <w:uiPriority w:val="9"/>
    <w:semiHidden/>
    <w:unhideWhenUsed/>
    <w:qFormat/>
    <w:rsid w:val="00E17DD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eastAsia="zh-CN"/>
      <w14:ligatures w14:val="standardContextual"/>
    </w:rPr>
  </w:style>
  <w:style w:type="paragraph" w:styleId="Heading7">
    <w:name w:val="heading 7"/>
    <w:basedOn w:val="Normal"/>
    <w:next w:val="Normal"/>
    <w:link w:val="Heading7Char"/>
    <w:uiPriority w:val="9"/>
    <w:semiHidden/>
    <w:unhideWhenUsed/>
    <w:qFormat/>
    <w:rsid w:val="00E17DD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eastAsia="zh-CN"/>
      <w14:ligatures w14:val="standardContextual"/>
    </w:rPr>
  </w:style>
  <w:style w:type="paragraph" w:styleId="Heading8">
    <w:name w:val="heading 8"/>
    <w:basedOn w:val="Normal"/>
    <w:next w:val="Normal"/>
    <w:link w:val="Heading8Char"/>
    <w:uiPriority w:val="9"/>
    <w:semiHidden/>
    <w:unhideWhenUsed/>
    <w:qFormat/>
    <w:rsid w:val="00E17DD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eastAsia="zh-CN"/>
      <w14:ligatures w14:val="standardContextual"/>
    </w:rPr>
  </w:style>
  <w:style w:type="paragraph" w:styleId="Heading9">
    <w:name w:val="heading 9"/>
    <w:basedOn w:val="Normal"/>
    <w:next w:val="Normal"/>
    <w:link w:val="Heading9Char"/>
    <w:uiPriority w:val="9"/>
    <w:semiHidden/>
    <w:unhideWhenUsed/>
    <w:qFormat/>
    <w:rsid w:val="00E17DD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DB"/>
    <w:rPr>
      <w:rFonts w:eastAsiaTheme="majorEastAsia" w:cstheme="majorBidi"/>
      <w:color w:val="272727" w:themeColor="text1" w:themeTint="D8"/>
    </w:rPr>
  </w:style>
  <w:style w:type="paragraph" w:styleId="Title">
    <w:name w:val="Title"/>
    <w:basedOn w:val="Normal"/>
    <w:next w:val="Normal"/>
    <w:link w:val="TitleChar"/>
    <w:uiPriority w:val="10"/>
    <w:qFormat/>
    <w:rsid w:val="00E17DDB"/>
    <w:pPr>
      <w:spacing w:after="80" w:line="240" w:lineRule="auto"/>
      <w:contextualSpacing/>
    </w:pPr>
    <w:rPr>
      <w:rFonts w:asciiTheme="majorHAnsi" w:eastAsiaTheme="majorEastAsia" w:hAnsiTheme="majorHAnsi" w:cstheme="majorBidi"/>
      <w:spacing w:val="-10"/>
      <w:kern w:val="28"/>
      <w:sz w:val="56"/>
      <w:szCs w:val="56"/>
      <w:lang w:val="en-GB" w:eastAsia="zh-CN"/>
      <w14:ligatures w14:val="standardContextual"/>
    </w:rPr>
  </w:style>
  <w:style w:type="character" w:customStyle="1" w:styleId="TitleChar">
    <w:name w:val="Title Char"/>
    <w:basedOn w:val="DefaultParagraphFont"/>
    <w:link w:val="Title"/>
    <w:uiPriority w:val="10"/>
    <w:rsid w:val="00E17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zh-CN"/>
      <w14:ligatures w14:val="standardContextual"/>
    </w:rPr>
  </w:style>
  <w:style w:type="character" w:customStyle="1" w:styleId="SubtitleChar">
    <w:name w:val="Subtitle Char"/>
    <w:basedOn w:val="DefaultParagraphFont"/>
    <w:link w:val="Subtitle"/>
    <w:uiPriority w:val="11"/>
    <w:rsid w:val="00E17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DB"/>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GB" w:eastAsia="zh-CN"/>
      <w14:ligatures w14:val="standardContextual"/>
    </w:rPr>
  </w:style>
  <w:style w:type="character" w:customStyle="1" w:styleId="QuoteChar">
    <w:name w:val="Quote Char"/>
    <w:basedOn w:val="DefaultParagraphFont"/>
    <w:link w:val="Quote"/>
    <w:uiPriority w:val="29"/>
    <w:rsid w:val="00E17DDB"/>
    <w:rPr>
      <w:i/>
      <w:iCs/>
      <w:color w:val="404040" w:themeColor="text1" w:themeTint="BF"/>
    </w:rPr>
  </w:style>
  <w:style w:type="paragraph" w:styleId="ListParagraph">
    <w:name w:val="List Paragraph"/>
    <w:basedOn w:val="Normal"/>
    <w:uiPriority w:val="34"/>
    <w:qFormat/>
    <w:rsid w:val="00E17DDB"/>
    <w:pPr>
      <w:spacing w:after="160" w:line="278" w:lineRule="auto"/>
      <w:ind w:left="720"/>
      <w:contextualSpacing/>
    </w:pPr>
    <w:rPr>
      <w:rFonts w:asciiTheme="minorHAnsi" w:eastAsiaTheme="minorEastAsia" w:hAnsiTheme="minorHAnsi" w:cstheme="minorBidi"/>
      <w:kern w:val="2"/>
      <w:sz w:val="24"/>
      <w:szCs w:val="24"/>
      <w:lang w:val="en-GB" w:eastAsia="zh-CN"/>
      <w14:ligatures w14:val="standardContextual"/>
    </w:rPr>
  </w:style>
  <w:style w:type="character" w:styleId="IntenseEmphasis">
    <w:name w:val="Intense Emphasis"/>
    <w:basedOn w:val="DefaultParagraphFont"/>
    <w:uiPriority w:val="21"/>
    <w:qFormat/>
    <w:rsid w:val="00E17DDB"/>
    <w:rPr>
      <w:i/>
      <w:iCs/>
      <w:color w:val="0F4761" w:themeColor="accent1" w:themeShade="BF"/>
    </w:rPr>
  </w:style>
  <w:style w:type="paragraph" w:styleId="IntenseQuote">
    <w:name w:val="Intense Quote"/>
    <w:basedOn w:val="Normal"/>
    <w:next w:val="Normal"/>
    <w:link w:val="IntenseQuoteChar"/>
    <w:uiPriority w:val="30"/>
    <w:qFormat/>
    <w:rsid w:val="00E17D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GB" w:eastAsia="zh-CN"/>
      <w14:ligatures w14:val="standardContextual"/>
    </w:rPr>
  </w:style>
  <w:style w:type="character" w:customStyle="1" w:styleId="IntenseQuoteChar">
    <w:name w:val="Intense Quote Char"/>
    <w:basedOn w:val="DefaultParagraphFont"/>
    <w:link w:val="IntenseQuote"/>
    <w:uiPriority w:val="30"/>
    <w:rsid w:val="00E17DDB"/>
    <w:rPr>
      <w:i/>
      <w:iCs/>
      <w:color w:val="0F4761" w:themeColor="accent1" w:themeShade="BF"/>
    </w:rPr>
  </w:style>
  <w:style w:type="character" w:styleId="IntenseReference">
    <w:name w:val="Intense Reference"/>
    <w:basedOn w:val="DefaultParagraphFont"/>
    <w:uiPriority w:val="32"/>
    <w:qFormat/>
    <w:rsid w:val="00E17D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313F-D7D9-49ED-9D89-41835C7E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Ying tung ruby (Arts)</dc:creator>
  <cp:keywords/>
  <dc:description/>
  <cp:lastModifiedBy>Chiu, Ying tung ruby (Arts)</cp:lastModifiedBy>
  <cp:revision>1</cp:revision>
  <dcterms:created xsi:type="dcterms:W3CDTF">2026-06-30T06:35:00Z</dcterms:created>
  <dcterms:modified xsi:type="dcterms:W3CDTF">2026-06-30T06:37:00Z</dcterms:modified>
</cp:coreProperties>
</file>